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22" w:rsidRPr="00A947A6" w:rsidRDefault="00A947A6" w:rsidP="00A947A6">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6C7F22" w:rsidRPr="00A947A6">
        <w:rPr>
          <w:rFonts w:ascii="微软雅黑" w:eastAsia="微软雅黑" w:hAnsi="微软雅黑" w:hint="eastAsia"/>
          <w:b/>
          <w:bCs/>
          <w:color w:val="002060"/>
          <w:sz w:val="40"/>
          <w:szCs w:val="40"/>
          <w:bdr w:val="none" w:sz="0" w:space="0" w:color="auto" w:frame="1"/>
        </w:rPr>
        <w:t>增值税若干具体问题的规定</w:t>
      </w:r>
      <w:r>
        <w:rPr>
          <w:rFonts w:ascii="微软雅黑" w:eastAsia="微软雅黑" w:hAnsi="微软雅黑" w:hint="eastAsia"/>
          <w:b/>
          <w:bCs/>
          <w:color w:val="002060"/>
          <w:sz w:val="40"/>
          <w:szCs w:val="40"/>
          <w:bdr w:val="none" w:sz="0" w:space="0" w:color="auto" w:frame="1"/>
        </w:rPr>
        <w:t>】</w:t>
      </w:r>
    </w:p>
    <w:p w:rsidR="00A947A6" w:rsidRDefault="00A947A6" w:rsidP="00A947A6">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A947A6" w:rsidRPr="00A947A6" w:rsidRDefault="00A947A6" w:rsidP="00A947A6">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A947A6">
        <w:rPr>
          <w:rFonts w:ascii="微软雅黑" w:eastAsia="微软雅黑" w:hAnsi="微软雅黑" w:hint="eastAsia"/>
          <w:color w:val="333333"/>
          <w:sz w:val="22"/>
          <w:szCs w:val="22"/>
          <w:bdr w:val="none" w:sz="0" w:space="0" w:color="auto" w:frame="1"/>
        </w:rPr>
        <w:t>1993-11-28</w:t>
      </w:r>
    </w:p>
    <w:p w:rsidR="00A947A6" w:rsidRPr="00A947A6" w:rsidRDefault="00A947A6" w:rsidP="00A947A6">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6C7F22" w:rsidRPr="00A947A6" w:rsidRDefault="006C7F22" w:rsidP="00A947A6">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A947A6">
        <w:rPr>
          <w:rFonts w:ascii="微软雅黑" w:eastAsia="微软雅黑" w:hAnsi="微软雅黑" w:hint="eastAsia"/>
          <w:color w:val="333333"/>
          <w:sz w:val="22"/>
          <w:szCs w:val="22"/>
          <w:bdr w:val="none" w:sz="0" w:space="0" w:color="auto" w:frame="1"/>
        </w:rPr>
        <w:t>（1993年12月28日国税发〔1993〕154号公布）</w:t>
      </w:r>
    </w:p>
    <w:p w:rsidR="006C7F22" w:rsidRPr="00A947A6" w:rsidRDefault="006C7F22" w:rsidP="00A947A6">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b/>
          <w:bCs/>
          <w:color w:val="C00000"/>
        </w:rPr>
      </w:pPr>
      <w:r w:rsidRPr="00A947A6">
        <w:rPr>
          <w:rFonts w:ascii="微软雅黑" w:eastAsia="微软雅黑" w:hAnsi="微软雅黑" w:hint="eastAsia"/>
          <w:b/>
          <w:bCs/>
          <w:color w:val="C00000"/>
          <w:bdr w:val="none" w:sz="0" w:space="0" w:color="auto" w:frame="1"/>
        </w:rPr>
        <w:t>一、征税范围</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（一）货物期货（包括商品期货和贵金属期货），应当征收增值税。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（二）银行销售金银的业务，应当征收增值税。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三）基本建设单位和从事建筑安装业务的企业附设的工厂、车间生产的水泥预制构件、其他构件或建筑材料，用于本单位或本企业的建筑工程的，应在移送使用时征收增值税。但对其在建筑现场制造的预制构件，凡直接用于本单位或本企业建筑工程的，不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（四）典当业的死当物品销售业务和</w:t>
      </w:r>
      <w:proofErr w:type="gramStart"/>
      <w:r w:rsidRPr="00A947A6">
        <w:rPr>
          <w:rFonts w:ascii="微软雅黑" w:eastAsia="微软雅黑" w:hAnsi="微软雅黑" w:hint="eastAsia"/>
          <w:color w:val="333333"/>
          <w:bdr w:val="none" w:sz="0" w:space="0" w:color="auto" w:frame="1"/>
        </w:rPr>
        <w:t>寄售业代</w:t>
      </w:r>
      <w:proofErr w:type="gramEnd"/>
      <w:r w:rsidRPr="00A947A6">
        <w:rPr>
          <w:rFonts w:ascii="微软雅黑" w:eastAsia="微软雅黑" w:hAnsi="微软雅黑" w:hint="eastAsia"/>
          <w:color w:val="333333"/>
          <w:bdr w:val="none" w:sz="0" w:space="0" w:color="auto" w:frame="1"/>
        </w:rPr>
        <w:t>委托人销售寄售物品的业务，均应征收增值税。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（五）因转让著作所有权而发生的销售电影母片、录像带母带、录音磁带母带的业务，以及因转让专利技术和非专利技术的所有权而发生的销售计算机软件的业务，不征收增值税。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（六）供应或开采未经加工的天然水（如水库供应农业灌溉用水，工厂自采地下水用于生产），不征收增值税。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（七）邮政部门销售集邮邮票、首日封，应当征收增值税。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（八）缝纫，应当征收增值税。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b/>
          <w:bCs/>
          <w:color w:val="C00000"/>
        </w:rPr>
      </w:pPr>
      <w:r w:rsidRPr="00A947A6">
        <w:rPr>
          <w:rFonts w:ascii="微软雅黑" w:eastAsia="微软雅黑" w:hAnsi="微软雅黑" w:hint="eastAsia"/>
          <w:b/>
          <w:bCs/>
          <w:color w:val="C00000"/>
          <w:bdr w:val="none" w:sz="0" w:space="0" w:color="auto" w:frame="1"/>
        </w:rPr>
        <w:t>二、计税依据</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（一）纳税人为销售货物而出租出借包装物收取的押金，单独记账核算的，</w:t>
      </w:r>
      <w:proofErr w:type="gramStart"/>
      <w:r w:rsidRPr="00A947A6">
        <w:rPr>
          <w:rFonts w:ascii="微软雅黑" w:eastAsia="微软雅黑" w:hAnsi="微软雅黑" w:hint="eastAsia"/>
          <w:color w:val="333333"/>
          <w:bdr w:val="none" w:sz="0" w:space="0" w:color="auto" w:frame="1"/>
        </w:rPr>
        <w:t>不</w:t>
      </w:r>
      <w:proofErr w:type="gramEnd"/>
      <w:r w:rsidRPr="00A947A6">
        <w:rPr>
          <w:rFonts w:ascii="微软雅黑" w:eastAsia="微软雅黑" w:hAnsi="微软雅黑" w:hint="eastAsia"/>
          <w:color w:val="333333"/>
          <w:bdr w:val="none" w:sz="0" w:space="0" w:color="auto" w:frame="1"/>
        </w:rPr>
        <w:t>并入销售额征税。但对因逾期未收回包装</w:t>
      </w:r>
      <w:proofErr w:type="gramStart"/>
      <w:r w:rsidRPr="00A947A6">
        <w:rPr>
          <w:rFonts w:ascii="微软雅黑" w:eastAsia="微软雅黑" w:hAnsi="微软雅黑" w:hint="eastAsia"/>
          <w:color w:val="333333"/>
          <w:bdr w:val="none" w:sz="0" w:space="0" w:color="auto" w:frame="1"/>
        </w:rPr>
        <w:t>物不再</w:t>
      </w:r>
      <w:proofErr w:type="gramEnd"/>
      <w:r w:rsidRPr="00A947A6">
        <w:rPr>
          <w:rFonts w:ascii="微软雅黑" w:eastAsia="微软雅黑" w:hAnsi="微软雅黑" w:hint="eastAsia"/>
          <w:color w:val="333333"/>
          <w:bdr w:val="none" w:sz="0" w:space="0" w:color="auto" w:frame="1"/>
        </w:rPr>
        <w:t>退还的押金，应按所包装货物的适用税率征收增值税。</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（二）纳税人采取折扣方式销售货物，如果销售额和折扣额在同一张发票上分别注明的，可按折扣后的销售额征收增值税；如果将折扣额另开发票，不论其在财务上如何处理，均不得从销售额中减除折扣额。</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（三）纳税人采取以旧换新方式销售货物，应按新货物的同期销售价格确定销售额。</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纳税人采取还本销售方式销售货物，不得从销售额中减除还本支出。</w:t>
      </w:r>
    </w:p>
    <w:p w:rsidR="006C7F22" w:rsidRPr="00A947A6" w:rsidRDefault="006C7F22" w:rsidP="00A947A6">
      <w:pPr>
        <w:pStyle w:val="a3"/>
        <w:shd w:val="clear" w:color="auto" w:fill="FFFFFF"/>
        <w:spacing w:before="0" w:beforeAutospacing="0" w:after="0" w:afterAutospacing="0" w:line="360" w:lineRule="exact"/>
        <w:ind w:firstLine="482"/>
        <w:rPr>
          <w:rFonts w:ascii="微软雅黑" w:eastAsia="微软雅黑" w:hAnsi="微软雅黑"/>
          <w:color w:val="333333"/>
        </w:rPr>
      </w:pPr>
      <w:r w:rsidRPr="00A947A6">
        <w:rPr>
          <w:rFonts w:ascii="微软雅黑" w:eastAsia="微软雅黑" w:hAnsi="微软雅黑" w:hint="eastAsia"/>
          <w:color w:val="333333"/>
          <w:bdr w:val="none" w:sz="0" w:space="0" w:color="auto" w:frame="1"/>
        </w:rPr>
        <w:t>（四）纳税人因销售价格明显偏低或无销售价格等原因，按规定</w:t>
      </w:r>
      <w:proofErr w:type="gramStart"/>
      <w:r w:rsidRPr="00A947A6">
        <w:rPr>
          <w:rFonts w:ascii="微软雅黑" w:eastAsia="微软雅黑" w:hAnsi="微软雅黑" w:hint="eastAsia"/>
          <w:color w:val="333333"/>
          <w:bdr w:val="none" w:sz="0" w:space="0" w:color="auto" w:frame="1"/>
        </w:rPr>
        <w:t>需组成</w:t>
      </w:r>
      <w:proofErr w:type="gramEnd"/>
      <w:r w:rsidRPr="00A947A6">
        <w:rPr>
          <w:rFonts w:ascii="微软雅黑" w:eastAsia="微软雅黑" w:hAnsi="微软雅黑" w:hint="eastAsia"/>
          <w:color w:val="333333"/>
          <w:bdr w:val="none" w:sz="0" w:space="0" w:color="auto" w:frame="1"/>
        </w:rPr>
        <w:t>计税价格确定销售额的，其组价公式中的成本利润率为10%。但属于应从价定率征收消费税的货物，其组价公式中的成本利润率，为《消费税若干具体问题的规定》中规定的成本利润率。</w:t>
      </w:r>
      <w:bookmarkStart w:id="0" w:name="_GoBack"/>
      <w:bookmarkEnd w:id="0"/>
    </w:p>
    <w:p w:rsidR="00F34711" w:rsidRPr="00A947A6" w:rsidRDefault="00F34711" w:rsidP="00A947A6">
      <w:pPr>
        <w:spacing w:line="240" w:lineRule="exact"/>
        <w:rPr>
          <w:rFonts w:ascii="微软雅黑" w:eastAsia="微软雅黑" w:hAnsi="微软雅黑"/>
          <w:sz w:val="22"/>
        </w:rPr>
      </w:pPr>
    </w:p>
    <w:sectPr w:rsidR="00F34711" w:rsidRPr="00A94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22"/>
    <w:rsid w:val="006C7F22"/>
    <w:rsid w:val="00A947A6"/>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46E9"/>
  <w15:chartTrackingRefBased/>
  <w15:docId w15:val="{40D45540-7373-4110-8477-BFA21F1B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F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2025-09-21T14:46:00Z</dcterms:created>
  <dcterms:modified xsi:type="dcterms:W3CDTF">2025-09-22T10:08:00Z</dcterms:modified>
</cp:coreProperties>
</file>